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Article VI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Council</w:t>
      </w:r>
    </w:p>
    <w:p w:rsidR="00000000" w:rsidDel="00000000" w:rsidP="00000000" w:rsidRDefault="00000000" w:rsidRPr="00000000" w14:paraId="00000004">
      <w:pPr>
        <w:spacing w:after="240" w:line="361.308" w:lineRule="auto"/>
        <w:ind w:left="720" w:firstLine="0"/>
        <w:rPr>
          <w:color w:val="ff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Section 1: Forums, liaisons, standing and ad hoc committees, appointed officers, and organizational representatives may be organized and supported as provided in the Manual.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Only those who live and/or work in Virginia and are Individual, Life, or Affiliate Members shall have the right to serve on council.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Article VIII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Officers and duties</w:t>
      </w:r>
    </w:p>
    <w:p w:rsidR="00000000" w:rsidDel="00000000" w:rsidP="00000000" w:rsidRDefault="00000000" w:rsidRPr="00000000" w14:paraId="00000008">
      <w:pPr>
        <w:spacing w:after="240" w:line="301.0909090909091" w:lineRule="auto"/>
        <w:ind w:left="720" w:right="240" w:firstLine="0"/>
        <w:rPr/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Section 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Officers: Only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those who live and/or work in Virginia and are Individual, Life, or Affiliate Members </w:t>
      </w:r>
      <w:r w:rsidDel="00000000" w:rsidR="00000000" w:rsidRPr="00000000">
        <w:rPr>
          <w:rFonts w:ascii="Calibri" w:cs="Calibri" w:eastAsia="Calibri" w:hAnsi="Calibri"/>
          <w:strike w:val="1"/>
          <w:color w:val="ff0000"/>
          <w:rtl w:val="0"/>
        </w:rPr>
        <w:t xml:space="preserve">individual members of the Association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shall have the right to hold office. The officers of the Association shall be President, Vice President/President-Elect, Second Vice President, Immediate Past President, Secretary, Treasurer, and ALA Chapter Councilor. They shall be elected for terms as stated in the Manual.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