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Article VI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Council</w:t>
      </w:r>
    </w:p>
    <w:p w:rsidR="00000000" w:rsidDel="00000000" w:rsidP="00000000" w:rsidRDefault="00000000" w:rsidRPr="00000000" w14:paraId="00000004">
      <w:pPr>
        <w:spacing w:after="240" w:line="361.308" w:lineRule="auto"/>
        <w:ind w:left="720" w:firstLine="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Section 1: Forums, liaisons, standing and ad hoc committees, appointed officers, and organizational representatives may be organized and supported as provided in the Manual.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Only those who live and/or work in Virginia and are Individual, Life, or Affiliate Members shall have the right to serve on council.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Article VIII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Officers and duties</w:t>
      </w:r>
    </w:p>
    <w:p w:rsidR="00000000" w:rsidDel="00000000" w:rsidP="00000000" w:rsidRDefault="00000000" w:rsidRPr="00000000" w14:paraId="00000008">
      <w:pPr>
        <w:spacing w:after="240" w:line="301.0909090909091" w:lineRule="auto"/>
        <w:ind w:left="720" w:right="240" w:firstLine="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Section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Officers: Only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those who live and/or work in Virginia and are Individual, Life, or Affiliate Members </w:t>
      </w:r>
      <w:r w:rsidDel="00000000" w:rsidR="00000000" w:rsidRPr="00000000">
        <w:rPr>
          <w:rFonts w:ascii="Calibri" w:cs="Calibri" w:eastAsia="Calibri" w:hAnsi="Calibri"/>
          <w:strike w:val="1"/>
          <w:color w:val="ff0000"/>
          <w:rtl w:val="0"/>
        </w:rPr>
        <w:t xml:space="preserve">individual members of the Association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have the right to hold office. The officers of the Association shall be President, Vice President/President-Elect, Second Vice President, Immediate Past President, Secretary, Treasurer, and ALA Chapter Councilor. They shall be elected for terms as stated in the Manual.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